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01CAF">
      <w:pPr>
        <w:spacing w:before="0" w:beforeAutospacing="0" w:after="0" w:afterAutospacing="0" w:line="240" w:lineRule="auto"/>
        <w:ind w:firstLineChars="200"/>
        <w:jc w:val="both"/>
        <w:rPr>
          <w:rStyle w:val="5"/>
          <w:rFonts w:hint="default" w:ascii="Times New Roman" w:hAnsi="Times New Roman" w:cs="Times New Roman" w:eastAsiaTheme="minorEastAsia"/>
          <w:b w:val="0"/>
          <w:bCs/>
          <w:spacing w:val="0"/>
          <w:sz w:val="28"/>
          <w:szCs w:val="28"/>
          <w:lang w:val="en-US" w:eastAsia="zh-CN"/>
        </w:rPr>
      </w:pPr>
      <w:bookmarkStart w:id="0" w:name="_GoBack"/>
      <w:r>
        <w:rPr>
          <w:rStyle w:val="5"/>
          <w:rFonts w:hint="default" w:ascii="Times New Roman" w:hAnsi="Times New Roman" w:cs="Times New Roman" w:eastAsiaTheme="minorEastAsia"/>
          <w:b w:val="0"/>
          <w:bCs/>
          <w:spacing w:val="0"/>
          <w:sz w:val="28"/>
          <w:szCs w:val="28"/>
          <w:lang w:val="en-US" w:eastAsia="zh-CN"/>
        </w:rPr>
        <w:t>附件1</w:t>
      </w:r>
    </w:p>
    <w:bookmarkEnd w:id="0"/>
    <w:p w14:paraId="0C4AA551">
      <w:pPr>
        <w:pStyle w:val="3"/>
        <w:spacing w:before="0" w:beforeAutospacing="0" w:after="0" w:afterAutospacing="0" w:line="580" w:lineRule="exact"/>
        <w:ind w:firstLine="0" w:firstLineChars="0"/>
        <w:jc w:val="center"/>
        <w:rPr>
          <w:rStyle w:val="6"/>
          <w:rFonts w:hint="eastAsia" w:ascii="华文中宋" w:hAnsi="华文中宋" w:eastAsia="华文中宋" w:cs="华文中宋"/>
          <w:b w:val="0"/>
          <w:bCs w:val="0"/>
          <w:spacing w:val="8"/>
          <w:sz w:val="40"/>
          <w:szCs w:val="40"/>
        </w:rPr>
      </w:pPr>
      <w:r>
        <w:rPr>
          <w:rStyle w:val="6"/>
          <w:rFonts w:hint="eastAsia" w:ascii="华文中宋" w:hAnsi="华文中宋" w:eastAsia="华文中宋" w:cs="华文中宋"/>
          <w:b w:val="0"/>
          <w:bCs w:val="0"/>
          <w:spacing w:val="8"/>
          <w:sz w:val="40"/>
          <w:szCs w:val="40"/>
          <w:lang w:val="en-US" w:eastAsia="zh-CN"/>
        </w:rPr>
        <w:t>大会</w:t>
      </w:r>
      <w:r>
        <w:rPr>
          <w:rStyle w:val="6"/>
          <w:rFonts w:hint="eastAsia" w:ascii="华文中宋" w:hAnsi="华文中宋" w:eastAsia="华文中宋" w:cs="华文中宋"/>
          <w:b w:val="0"/>
          <w:bCs w:val="0"/>
          <w:spacing w:val="8"/>
          <w:sz w:val="40"/>
          <w:szCs w:val="40"/>
        </w:rPr>
        <w:t>组织机构</w:t>
      </w:r>
    </w:p>
    <w:p w14:paraId="0622DD03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大会名誉主席：</w:t>
      </w:r>
    </w:p>
    <w:p w14:paraId="74627472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段宝岩   院  士（西安电子科技大学）</w:t>
      </w:r>
    </w:p>
    <w:p w14:paraId="3E28BF32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大会主席：</w:t>
      </w:r>
    </w:p>
    <w:p w14:paraId="0EFEE11D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李  明   研究员（中国空间技术研究院）</w:t>
      </w:r>
    </w:p>
    <w:p w14:paraId="12ACE1EC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刘兴江 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研究员（中国电子科技集团公司第十八研究所）</w:t>
      </w:r>
    </w:p>
    <w:p w14:paraId="7A444351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邰忠智   副校长（中山大学）</w:t>
      </w:r>
    </w:p>
    <w:p w14:paraId="2451FA58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顾问委员会：</w:t>
      </w:r>
    </w:p>
    <w:p w14:paraId="449D472D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杨士中   院  士（重庆大学）</w:t>
      </w:r>
    </w:p>
    <w:p w14:paraId="05EDEA22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葛昌纯   院  士（北京科技大学）</w:t>
      </w:r>
    </w:p>
    <w:p w14:paraId="3550D254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龙乐豪   院  士（中国运载火箭技术研究院）</w:t>
      </w:r>
    </w:p>
    <w:p w14:paraId="35B0DC89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刘吉臻   院  士（华北电力大学）</w:t>
      </w:r>
    </w:p>
    <w:p w14:paraId="2157F10F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杨  宏   院  士（中国航天科技集团）</w:t>
      </w:r>
    </w:p>
    <w:p w14:paraId="0D01E0F3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会议执行主席：</w:t>
      </w:r>
    </w:p>
    <w:p w14:paraId="10EECF2C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吴志刚 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教 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授（中山大学）</w:t>
      </w:r>
    </w:p>
    <w:p w14:paraId="36FC6BA9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王 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立 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研究员（钱学森空间技术实验室）</w:t>
      </w:r>
    </w:p>
    <w:p w14:paraId="42536C18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黄卡玛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教 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授（四川大学）</w:t>
      </w:r>
    </w:p>
    <w:p w14:paraId="38BA03BD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主办单位：</w:t>
      </w:r>
    </w:p>
    <w:p w14:paraId="57C06939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中国宇航学会空间太阳能电站专业委员会</w:t>
      </w:r>
    </w:p>
    <w:p w14:paraId="03A9F8CB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中国电子学会化学与物理电源技术分会</w:t>
      </w:r>
    </w:p>
    <w:p w14:paraId="2DCCFB36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承办单位：</w:t>
      </w:r>
    </w:p>
    <w:p w14:paraId="33D699D9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中山大学航空航天学院</w:t>
      </w:r>
    </w:p>
    <w:p w14:paraId="38FC9D8F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航天科技集团钱学森空间技术实验室</w:t>
      </w:r>
    </w:p>
    <w:p w14:paraId="10F33128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化学与物理电源全国重点实验室</w:t>
      </w:r>
    </w:p>
    <w:p w14:paraId="4E9DFA28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哈尔滨工业大学（深圳）</w:t>
      </w:r>
    </w:p>
    <w:p w14:paraId="7FD43DC4">
      <w:pPr>
        <w:pStyle w:val="3"/>
        <w:spacing w:before="0" w:beforeAutospacing="0" w:after="0" w:afterAutospacing="0" w:line="580" w:lineRule="exact"/>
        <w:ind w:firstLine="675" w:firstLineChars="200"/>
        <w:jc w:val="both"/>
        <w:rPr>
          <w:rFonts w:ascii="仿宋_GB2312" w:hAnsi="仿宋_GB2312" w:eastAsia="仿宋_GB2312" w:cs="仿宋_GB2312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8"/>
          <w:sz w:val="32"/>
          <w:szCs w:val="32"/>
        </w:rPr>
        <w:t>协办单位：</w:t>
      </w:r>
    </w:p>
    <w:p w14:paraId="0B965169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宇航空间机构全国重点实验室</w:t>
      </w:r>
    </w:p>
    <w:p w14:paraId="57D8BE12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北京星河动力航天科技股份有限公司</w:t>
      </w:r>
    </w:p>
    <w:p w14:paraId="6E5B7DBD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北京紫微宇通科技有限公司</w:t>
      </w:r>
    </w:p>
    <w:p w14:paraId="4C1E52C8">
      <w:pPr>
        <w:pStyle w:val="3"/>
        <w:spacing w:before="0" w:beforeAutospacing="0" w:after="0" w:afterAutospacing="0" w:line="580" w:lineRule="exact"/>
        <w:ind w:firstLine="672" w:firstLineChars="200"/>
        <w:jc w:val="both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蓝箭航天空间科技股份有限公司</w:t>
      </w:r>
    </w:p>
    <w:p w14:paraId="26387EB8"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湖南赛德雷特卫星科技有限公司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07F16"/>
    <w:rsid w:val="7580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2026-07-10T05:52:00Z</dcterms:created>
  <dc:creator>forever</dc:creator>
  <cp:lastModifiedBy>forever</cp:lastModifiedBy>
  <dcterms:modified xsi:type="dcterms:W3CDTF">2026-07-10T05:53:30Z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2B1BEE2E03984A3FAFCC7152B780D88A_11</vt:lpwstr>
  </property>
  <property fmtid="{D5CDD505-2E9C-101B-9397-08002B2CF9AE}" pid="4" name="KSOTemplateDocerSaveRecord">
    <vt:lpwstr>eyJoZGlkIjoiZjk5YzljZDcwZmU4YTQyNTk0MjZjZmQzNjYyZTg4ZDciLCJ1c2VySWQiOiIzMjk2MjA1NDEifQ==</vt:lpwstr>
  </property>
</Properties>
</file>